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Lista di controllo del cambio turno di sicurezza</w:t>
      </w:r>
    </w:p>
    <w:p>
      <w:r>
        <w:rPr>
          <w:b/>
        </w:rPr>
        <w:t xml:space="preserve">MODULO VUOTO</w:t>
      </w:r>
    </w:p>
    <w:p>
      <w:r>
        <w:t xml:space="preserve">Verificare ogni punto. Indicare «Nulla segnalato», «Non applicabile» o «Non verificato», con il motivo. La conferma di ricezione non chiude i problemi aperti.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Sede/postazione; data/ora e fuso orario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Addetto uscente; addetto subentrante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Incidenti/problemi aperti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Stato di accessi/chiavi/attrezzature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Visitatori/consegne da seguire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Problemi di ronda/punti di controllo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Condizioni della sede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Prossime azioni; responsabile; scadenza/aggiornamento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Conferma dell’uscente/subentrante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/>
          </w:p>
        </w:tc>
      </w:tr>
    </w:tbl>
    <w:p>
      <w:r>
        <w:t xml:space="preserve">checkpointguard.com | Seguire le istruzioni approvate della sede. Conservare separatamente i documenti di supporto.</w:t>
      </w:r>
    </w:p>
    <w:p>
      <w:r>
        <w:br w:type="page"/>
      </w:r>
    </w:p>
    <w:p>
      <w:pPr>
        <w:pStyle w:val="Title"/>
      </w:pPr>
      <w:r>
        <w:t xml:space="preserve">Lista di controllo del cambio turno di sicurezza</w:t>
      </w:r>
    </w:p>
    <w:p>
      <w:r>
        <w:rPr>
          <w:b/>
        </w:rPr>
        <w:t xml:space="preserve">ESEMPIO FITTIZIO COMPILATO</w:t>
      </w:r>
    </w:p>
    <w:p>
      <w:r>
        <w:t xml:space="preserve">Persone, luoghi ed eventi sono fittizi. Verificare ogni punto. Indicare «Nulla segnalato», «Non applicabile» o «Non verificato», con il motivo. La conferma di ricezione non chiude i problemi aperti.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36"/>
        <w:gridCol w:w="7272"/>
      </w:tblGrid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Sede/postazione; data/ora e fuso orario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Harbor Point Offices - Esempio fittizio / Reception; 15 gennaio 2026, 06:00, ora locale della sede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Addetto uscente; addetto subentrante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Addetto A di esempio; Addetto C di esempio</w:t>
            </w:r>
          </w:p>
        </w:tc>
      </w:tr>
      <w:tr>
        <w:trPr>
          <w:trHeight w:val="84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Incidenti/problemi aperti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Lo scrocco della porta di servizio non si agganciava il 14 gennaio alle 22:25. Rapporto EX-001 aperto; riparazione non confermata.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Stato di accessi/chiavi/attrezzature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Consegnati il mazzo di chiavi K1 e la radio R1 assegnati. Il subentrante ne ha verificato la ricezione. Rispettare le autorizzazioni di accesso della sede.</w:t>
            </w:r>
          </w:p>
        </w:tc>
      </w:tr>
      <w:tr>
        <w:trPr>
          <w:trHeight w:val="152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Visitatori/consegne da seguire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Nessuna questione in sospeso relativa a visitatori o consegne segnalata in questo passaggio.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Problemi di ronda/punti di controllo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Luce esterna segnalata spenta il 14 gennaio alle 22:35. Nessun aggiornamento sulla riparazione. Una scansione da sola non conferma il controllo dell’illuminazione.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Condizioni della sede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Una luce del passaggio esterno risulta ancora segnalata spenta. Comunicato il percorso sicuro alternativo approvato.</w:t>
            </w:r>
          </w:p>
        </w:tc>
      </w:tr>
      <w:tr>
        <w:trPr>
          <w:trHeight w:val="12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Prossime azioni; responsabile; scadenza/aggiornamento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Il Responsabile B chiederà aggiornamenti su porta e illuminazione. L’Addetto C seguirà le istruzioni della sede e chiederà lo stato al prossimo contatto concordato con il responsabile.</w:t>
            </w:r>
          </w:p>
        </w:tc>
      </w:tr>
      <w:tr>
        <w:trPr>
          <w:trHeight w:val="1080" w:hRule="atLeast"/>
          <w:cantSplit/>
        </w:trPr>
        <w:tc>
          <w:tcPr>
            <w:tcW w:type="dxa" w:w="2736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EEEEE"/>
          </w:tcPr>
          <w:p>
            <w:r>
              <w:rPr>
                <w:b/>
              </w:rPr>
              <w:t xml:space="preserve">Conferma dell’uscente/subentrante</w:t>
            </w:r>
          </w:p>
        </w:tc>
        <w:tc>
          <w:tcPr>
            <w:tcW w:type="dxa" w:w="7272"/>
            <w:vAlign w:val="top"/>
            <w:tcBorders>
              <w:top w:val="single" w:sz="4" w:color="999999"/>
              <w:left w:val="single" w:sz="4" w:color="999999"/>
              <w:bottom w:val="single" w:sz="4" w:color="999999"/>
              <w:right w:val="single" w:sz="4" w:color="99999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r>
              <w:t xml:space="preserve">Uscente: Addetto A di esempio, 06:00. Subentrante: Addetto C di esempio, 06:00. Ricezione confermata; problemi ancora aperti.</w:t>
            </w:r>
          </w:p>
        </w:tc>
      </w:tr>
    </w:tbl>
    <w:p>
      <w:r>
        <w:t xml:space="preserve">checkpointguard.com | Esempio fittizio: conservare separatamente dai registri della sede.</w:t>
      </w:r>
    </w:p>
    <w:sectPr w:rsidR="00FC693F" w:rsidRPr="0006063C" w:rsidSect="00034616">
      <w:pgSz w:w="11909" w:h="16834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di controllo del cambio turno di sicurezza</dc:title>
  <dc:subject>Blank form and fictional completed example</dc:subject>
  <dc:creator>CheckpointGuard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